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D4952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80" w:afterAutospacing="0" w:line="480" w:lineRule="auto"/>
        <w:ind w:left="0" w:right="0" w:firstLine="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Figure S1.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Calibration curve validation indicated that the model has a high predictive accuracy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for IBD diagnosis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. (A)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Calibration curve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of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</w:rPr>
        <w:t>R.</w:t>
      </w:r>
      <w:r>
        <w:rPr>
          <w:rFonts w:ascii="Times New Roman" w:hAnsi="Times New Roman" w:cs="Times New Roman"/>
          <w:b w:val="0"/>
          <w:bCs w:val="0"/>
          <w:i/>
          <w:iCs/>
          <w:sz w:val="24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</w:rPr>
        <w:t>gnavus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  <w:lang w:val="en-US" w:eastAsia="zh-CN"/>
        </w:rPr>
        <w:t>+</w:t>
      </w:r>
      <w:r>
        <w:rPr>
          <w:rFonts w:ascii="Times New Roman" w:hAnsi="Times New Roman" w:cs="Times New Roman"/>
          <w:b w:val="0"/>
          <w:bCs w:val="0"/>
          <w:i/>
          <w:iCs/>
          <w:sz w:val="24"/>
        </w:rPr>
        <w:t>Veillonella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>spp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  <w:lang w:val="en-US" w:eastAsia="zh-CN"/>
        </w:rPr>
        <w:t>+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FOBT model </w:t>
      </w:r>
      <w:r>
        <w:rPr>
          <w:rFonts w:hint="eastAsia" w:ascii="Times New Roman" w:hAnsi="Times New Roman" w:cs="Times New Roman"/>
          <w:b w:val="0"/>
          <w:bCs w:val="0"/>
          <w:sz w:val="24"/>
        </w:rPr>
        <w:t>differentiat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ing</w:t>
      </w:r>
      <w:r>
        <w:rPr>
          <w:rFonts w:hint="eastAsia" w:ascii="Times New Roman" w:hAnsi="Times New Roman" w:cs="Times New Roman"/>
          <w:b w:val="0"/>
          <w:bCs w:val="0"/>
          <w:sz w:val="24"/>
        </w:rPr>
        <w:t xml:space="preserve"> </w:t>
      </w:r>
      <w:bookmarkStart w:id="0" w:name="OLE_LINK1"/>
      <w:r>
        <w:rPr>
          <w:rFonts w:hint="eastAsia" w:ascii="Times New Roman" w:hAnsi="Times New Roman" w:cs="Times New Roman"/>
          <w:b w:val="0"/>
          <w:bCs w:val="0"/>
          <w:sz w:val="24"/>
        </w:rPr>
        <w:t>IBD</w:t>
      </w:r>
      <w:bookmarkEnd w:id="0"/>
      <w:r>
        <w:rPr>
          <w:rFonts w:hint="eastAsia" w:ascii="Times New Roman" w:hAnsi="Times New Roman" w:cs="Times New Roman"/>
          <w:b w:val="0"/>
          <w:bCs w:val="0"/>
          <w:sz w:val="24"/>
        </w:rPr>
        <w:t xml:space="preserve"> from control group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. (B)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Calibration curve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of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</w:rPr>
        <w:t>R.gnavus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  <w:lang w:val="en-US" w:eastAsia="zh-CN"/>
        </w:rPr>
        <w:t>+</w:t>
      </w:r>
      <w:r>
        <w:rPr>
          <w:rFonts w:ascii="Times New Roman" w:hAnsi="Times New Roman" w:cs="Times New Roman"/>
          <w:b w:val="0"/>
          <w:bCs w:val="0"/>
          <w:i/>
          <w:iCs/>
          <w:sz w:val="24"/>
        </w:rPr>
        <w:t>Veillonella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>spp</w:t>
      </w:r>
      <w:r>
        <w:rPr>
          <w:rFonts w:hint="eastAsia" w:ascii="Times New Roman" w:hAnsi="Times New Roman" w:cs="Times New Roman"/>
          <w:b w:val="0"/>
          <w:bCs w:val="0"/>
          <w:i/>
          <w:iCs/>
          <w:sz w:val="24"/>
          <w:lang w:val="en-US" w:eastAsia="zh-CN"/>
        </w:rPr>
        <w:t>+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FOBT model </w:t>
      </w:r>
      <w:r>
        <w:rPr>
          <w:rFonts w:hint="eastAsia" w:ascii="Times New Roman" w:hAnsi="Times New Roman" w:cs="Times New Roman"/>
          <w:b w:val="0"/>
          <w:bCs w:val="0"/>
          <w:sz w:val="24"/>
        </w:rPr>
        <w:t>differentiat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ing</w:t>
      </w:r>
      <w:r>
        <w:rPr>
          <w:rFonts w:hint="eastAsia" w:ascii="Times New Roman" w:hAnsi="Times New Roman" w:cs="Times New Roman"/>
          <w:b w:val="0"/>
          <w:bCs w:val="0"/>
          <w:sz w:val="24"/>
        </w:rPr>
        <w:t xml:space="preserve"> IBD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</w:rPr>
        <w:t xml:space="preserve">from other </w:t>
      </w:r>
      <w:r>
        <w:rPr>
          <w:rFonts w:ascii="Times New Roman" w:hAnsi="Times New Roman" w:cs="Times New Roman"/>
          <w:b w:val="0"/>
          <w:bCs w:val="0"/>
          <w:sz w:val="24"/>
        </w:rPr>
        <w:t>digestive diseases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.</w:t>
      </w:r>
    </w:p>
    <w:p w14:paraId="2E10EA83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80" w:afterAutospacing="0" w:line="480" w:lineRule="auto"/>
        <w:ind w:left="0" w:right="0" w:firstLine="0"/>
        <w:jc w:val="left"/>
        <w:textAlignment w:val="auto"/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</w:pPr>
    </w:p>
    <w:p w14:paraId="0DC24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Table S1: Characteristics of patients with IBD, other digestive diseases and controls in the training cohort.</w:t>
      </w:r>
    </w:p>
    <w:tbl>
      <w:tblPr>
        <w:tblStyle w:val="6"/>
        <w:tblW w:w="4968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450"/>
        <w:gridCol w:w="1392"/>
        <w:gridCol w:w="1366"/>
        <w:gridCol w:w="1425"/>
        <w:gridCol w:w="1577"/>
      </w:tblGrid>
      <w:tr w14:paraId="306180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18154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210" w:firstLineChars="100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Subjects</w:t>
            </w:r>
          </w:p>
        </w:tc>
        <w:tc>
          <w:tcPr>
            <w:tcW w:w="856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1962B6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Patients with IBD</w:t>
            </w:r>
          </w:p>
          <w:p w14:paraId="33BCC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(n=114)</w:t>
            </w:r>
          </w:p>
        </w:tc>
        <w:tc>
          <w:tcPr>
            <w:tcW w:w="821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091404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Patients with CD</w:t>
            </w:r>
          </w:p>
          <w:p w14:paraId="3BBCA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(n = 60)</w:t>
            </w:r>
          </w:p>
        </w:tc>
        <w:tc>
          <w:tcPr>
            <w:tcW w:w="806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1755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Patients with UC</w:t>
            </w:r>
          </w:p>
          <w:p w14:paraId="1760E1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(n =54)</w:t>
            </w:r>
          </w:p>
        </w:tc>
        <w:tc>
          <w:tcPr>
            <w:tcW w:w="841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43643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Controls </w:t>
            </w:r>
          </w:p>
          <w:p w14:paraId="1D6D75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(n = 29)</w:t>
            </w:r>
          </w:p>
        </w:tc>
        <w:tc>
          <w:tcPr>
            <w:tcW w:w="931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70C5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Other Digestive Diseases (n=55)</w:t>
            </w:r>
          </w:p>
        </w:tc>
      </w:tr>
      <w:tr w14:paraId="46E7A4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51358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Age(year)</w:t>
            </w:r>
          </w:p>
        </w:tc>
        <w:tc>
          <w:tcPr>
            <w:tcW w:w="856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28D76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39.35±13.74</w:t>
            </w:r>
          </w:p>
        </w:tc>
        <w:tc>
          <w:tcPr>
            <w:tcW w:w="821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07408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34.18±10.23</w:t>
            </w:r>
          </w:p>
        </w:tc>
        <w:tc>
          <w:tcPr>
            <w:tcW w:w="806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245FB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45.09±14.90</w:t>
            </w:r>
          </w:p>
        </w:tc>
        <w:tc>
          <w:tcPr>
            <w:tcW w:w="841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49F3BA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50.17±14.44</w:t>
            </w:r>
          </w:p>
        </w:tc>
        <w:tc>
          <w:tcPr>
            <w:tcW w:w="931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69056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55.93±17.37</w:t>
            </w:r>
          </w:p>
        </w:tc>
      </w:tr>
      <w:tr w14:paraId="14C918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2AED82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Sex, n(%)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5CAC6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04963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7B7EE4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4D1368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7FAA44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2460782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7AB62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left"/>
              <w:textAlignment w:val="auto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Male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167AED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72(63.2%)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724800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44(73.3%)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1CD69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28(51.9%)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047DB0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13(44.8%)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32D358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36(65.5%)</w:t>
            </w:r>
          </w:p>
        </w:tc>
      </w:tr>
      <w:tr w14:paraId="507697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461BE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left"/>
              <w:textAlignment w:val="auto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Female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57CF3A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42(36.8%)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09591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16(26.7%)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5E9657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26(48.1%)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7F9B1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16(55.2%)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59B47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19(34.5%)</w:t>
            </w:r>
          </w:p>
        </w:tc>
      </w:tr>
      <w:tr w14:paraId="469645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44D67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CRP (mg/L)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50E571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10.5±25.15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21292F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9.4±24.68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4A7C4E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11.78±25.89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05F3DE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4.61±8.22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1EED39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5.29±17.59</w:t>
            </w:r>
          </w:p>
        </w:tc>
      </w:tr>
      <w:tr w14:paraId="5F1F44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3255AD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ESR (mm/h)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56BB04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26.41±23.13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1DA50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20.87±19.34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682B6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32.67±25.57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5AC60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20.43±20.08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158CA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24.64±19.30</w:t>
            </w:r>
          </w:p>
        </w:tc>
      </w:tr>
      <w:tr w14:paraId="11632C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050C5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FOBT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1FE5CE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2A534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46C66C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1F623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6311CE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449CF7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5824D3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-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481F0A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36(38.7%)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79AB3E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25(55.6%)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6E862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11(22.9%)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573F0E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27(96.4%)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18612B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34(70.8%)</w:t>
            </w:r>
          </w:p>
        </w:tc>
      </w:tr>
      <w:tr w14:paraId="5DF4EC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062861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±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206F0B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34(36.6%)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6181C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10(22.2%)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12AE7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24(50%)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548FA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1(3.6%)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576DB6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8(16.7%)</w:t>
            </w:r>
          </w:p>
        </w:tc>
      </w:tr>
      <w:tr w14:paraId="6C9B55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000EE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43530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18(19.4%)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5C1AE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7(15.6%)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1131E3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11(22.9%)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2443EF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6D2C4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6(12.5%)</w:t>
            </w:r>
          </w:p>
        </w:tc>
      </w:tr>
      <w:tr w14:paraId="092491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tl2br w:val="nil"/>
              <w:tr2bl w:val="nil"/>
            </w:tcBorders>
            <w:vAlign w:val="center"/>
          </w:tcPr>
          <w:p w14:paraId="5D0F1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++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7243F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4(4.3%)</w:t>
            </w:r>
          </w:p>
        </w:tc>
        <w:tc>
          <w:tcPr>
            <w:tcW w:w="821" w:type="pct"/>
            <w:tcBorders>
              <w:tl2br w:val="nil"/>
              <w:tr2bl w:val="nil"/>
            </w:tcBorders>
            <w:vAlign w:val="center"/>
          </w:tcPr>
          <w:p w14:paraId="52389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2(4.4%)</w:t>
            </w:r>
          </w:p>
        </w:tc>
        <w:tc>
          <w:tcPr>
            <w:tcW w:w="806" w:type="pct"/>
            <w:tcBorders>
              <w:tl2br w:val="nil"/>
              <w:tr2bl w:val="nil"/>
            </w:tcBorders>
            <w:vAlign w:val="center"/>
          </w:tcPr>
          <w:p w14:paraId="3E42E4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2(4.2%)</w:t>
            </w:r>
          </w:p>
        </w:tc>
        <w:tc>
          <w:tcPr>
            <w:tcW w:w="841" w:type="pct"/>
            <w:tcBorders>
              <w:tl2br w:val="nil"/>
              <w:tr2bl w:val="nil"/>
            </w:tcBorders>
            <w:vAlign w:val="center"/>
          </w:tcPr>
          <w:p w14:paraId="2FE35B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  <w:tc>
          <w:tcPr>
            <w:tcW w:w="931" w:type="pct"/>
            <w:tcBorders>
              <w:tl2br w:val="nil"/>
              <w:tr2bl w:val="nil"/>
            </w:tcBorders>
            <w:vAlign w:val="center"/>
          </w:tcPr>
          <w:p w14:paraId="5127B8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</w:tr>
      <w:tr w14:paraId="130428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42" w:type="pct"/>
            <w:tcBorders>
              <w:bottom w:val="single" w:color="000000" w:sz="8" w:space="0"/>
            </w:tcBorders>
            <w:vAlign w:val="center"/>
          </w:tcPr>
          <w:p w14:paraId="077E31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+++</w:t>
            </w:r>
          </w:p>
        </w:tc>
        <w:tc>
          <w:tcPr>
            <w:tcW w:w="856" w:type="pct"/>
            <w:tcBorders>
              <w:bottom w:val="single" w:color="000000" w:sz="8" w:space="0"/>
            </w:tcBorders>
            <w:vAlign w:val="center"/>
          </w:tcPr>
          <w:p w14:paraId="07245C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1(1.1%)</w:t>
            </w:r>
          </w:p>
        </w:tc>
        <w:tc>
          <w:tcPr>
            <w:tcW w:w="821" w:type="pct"/>
            <w:tcBorders>
              <w:bottom w:val="single" w:color="000000" w:sz="8" w:space="0"/>
            </w:tcBorders>
            <w:vAlign w:val="center"/>
          </w:tcPr>
          <w:p w14:paraId="70161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1(2.2%)</w:t>
            </w:r>
          </w:p>
        </w:tc>
        <w:tc>
          <w:tcPr>
            <w:tcW w:w="806" w:type="pct"/>
            <w:tcBorders>
              <w:bottom w:val="single" w:color="000000" w:sz="8" w:space="0"/>
            </w:tcBorders>
            <w:vAlign w:val="center"/>
          </w:tcPr>
          <w:p w14:paraId="735C78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  <w:tc>
          <w:tcPr>
            <w:tcW w:w="841" w:type="pct"/>
            <w:tcBorders>
              <w:bottom w:val="single" w:color="000000" w:sz="8" w:space="0"/>
            </w:tcBorders>
            <w:vAlign w:val="center"/>
          </w:tcPr>
          <w:p w14:paraId="4B25A9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  <w:tc>
          <w:tcPr>
            <w:tcW w:w="931" w:type="pct"/>
            <w:tcBorders>
              <w:bottom w:val="single" w:color="000000" w:sz="8" w:space="0"/>
            </w:tcBorders>
            <w:vAlign w:val="center"/>
          </w:tcPr>
          <w:p w14:paraId="0E7B93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</w:tr>
    </w:tbl>
    <w:p w14:paraId="437362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</w:p>
    <w:p w14:paraId="40790B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Table S2: Characteristics of patients with IBD, other digestive diseases and controls in the validation cohort.</w:t>
      </w:r>
    </w:p>
    <w:tbl>
      <w:tblPr>
        <w:tblStyle w:val="6"/>
        <w:tblW w:w="4967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335"/>
        <w:gridCol w:w="1475"/>
        <w:gridCol w:w="1383"/>
        <w:gridCol w:w="1300"/>
        <w:gridCol w:w="1559"/>
      </w:tblGrid>
      <w:tr w14:paraId="1A082D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4ECA19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210" w:firstLineChars="100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Subjects</w:t>
            </w:r>
          </w:p>
        </w:tc>
        <w:tc>
          <w:tcPr>
            <w:tcW w:w="788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5A96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Patients with IBD</w:t>
            </w:r>
          </w:p>
          <w:p w14:paraId="7E742F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(n=110)</w:t>
            </w:r>
          </w:p>
        </w:tc>
        <w:tc>
          <w:tcPr>
            <w:tcW w:w="871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10B002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Patients with CD</w:t>
            </w:r>
          </w:p>
          <w:p w14:paraId="52C5D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(n = 60)</w:t>
            </w:r>
          </w:p>
        </w:tc>
        <w:tc>
          <w:tcPr>
            <w:tcW w:w="816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05932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Patients with UC</w:t>
            </w:r>
          </w:p>
          <w:p w14:paraId="4E390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(n =50)</w:t>
            </w:r>
          </w:p>
        </w:tc>
        <w:tc>
          <w:tcPr>
            <w:tcW w:w="767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4FCFBD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Controls </w:t>
            </w:r>
          </w:p>
          <w:p w14:paraId="63BFC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(n = 28)</w:t>
            </w:r>
          </w:p>
        </w:tc>
        <w:tc>
          <w:tcPr>
            <w:tcW w:w="920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9816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Other Digestive Diseases (n=57)</w:t>
            </w:r>
          </w:p>
        </w:tc>
      </w:tr>
      <w:tr w14:paraId="74BF6A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010D1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Age(year)</w:t>
            </w:r>
          </w:p>
        </w:tc>
        <w:tc>
          <w:tcPr>
            <w:tcW w:w="788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209AB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41.49±15.61</w:t>
            </w:r>
          </w:p>
        </w:tc>
        <w:tc>
          <w:tcPr>
            <w:tcW w:w="871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3915E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36.45±13.43</w:t>
            </w:r>
          </w:p>
        </w:tc>
        <w:tc>
          <w:tcPr>
            <w:tcW w:w="816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47EF05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47.54±16.02</w:t>
            </w:r>
          </w:p>
        </w:tc>
        <w:tc>
          <w:tcPr>
            <w:tcW w:w="767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643BC3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45.21±13.65</w:t>
            </w:r>
          </w:p>
        </w:tc>
        <w:tc>
          <w:tcPr>
            <w:tcW w:w="920" w:type="pct"/>
            <w:tcBorders>
              <w:top w:val="single" w:color="auto" w:sz="4" w:space="0"/>
              <w:tl2br w:val="nil"/>
              <w:tr2bl w:val="nil"/>
            </w:tcBorders>
            <w:vAlign w:val="center"/>
          </w:tcPr>
          <w:p w14:paraId="3E216B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60.44±15.88</w:t>
            </w:r>
          </w:p>
        </w:tc>
      </w:tr>
      <w:tr w14:paraId="4E0FCF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751F8F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Sex, n(%)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20D07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6102AC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3CA9D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74DC91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6E96F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500F0A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59B223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left"/>
              <w:textAlignment w:val="auto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Male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59FF92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70(63.6%)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0C4BD1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46(76.7%)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212359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24(48%)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4B189C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12(42.9%)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73FFC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34(59.6%)</w:t>
            </w:r>
          </w:p>
        </w:tc>
      </w:tr>
      <w:tr w14:paraId="22E983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0E4F76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left"/>
              <w:textAlignment w:val="auto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Female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59A957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40(36.4%)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43392E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14(23.3%)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2FBA99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26(52%)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4418F3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16(57.1%)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1C56E4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23(40.4%)</w:t>
            </w:r>
          </w:p>
        </w:tc>
      </w:tr>
      <w:tr w14:paraId="4CA990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23E6FF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CRP (mg/L)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0FC1C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6.49±15.30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23FAB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5.65±8.15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54253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7.46±20.79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5E7BBF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1.53±2.56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1DECD1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4.88±9.48</w:t>
            </w:r>
          </w:p>
        </w:tc>
      </w:tr>
      <w:tr w14:paraId="52DC05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43397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ESR (mm/h)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79D4FF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26.82±22.23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274391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22.19±16.71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58F6AB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32.42±26.61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439DF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15.92±11.64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2FB4B4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21.67±26.52</w:t>
            </w:r>
          </w:p>
        </w:tc>
      </w:tr>
      <w:tr w14:paraId="47937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1445DA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FOBT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6CD80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5955E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733DA9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6F8C9D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07542A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7DEEBC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54D2D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-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7CCFC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27(28.7%)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4E1B1E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19(40.4%)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1AF35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8(17.0%)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666B52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26(96.3%)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1B1D10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34(75.6%)</w:t>
            </w:r>
          </w:p>
        </w:tc>
      </w:tr>
      <w:tr w14:paraId="3E65BA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5E8E62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±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1AC7C1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40(42.6%)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2D3048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17(36.2%)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69052F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23(48.9%)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3FAFE2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1(3.7%)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2D467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5(11.1%)</w:t>
            </w:r>
          </w:p>
        </w:tc>
      </w:tr>
      <w:tr w14:paraId="7BAE57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4C720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152C3A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22(23.4%)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7AE96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8(17%)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00F839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14(29.8%)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16B5C7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179A1A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4(8.9%)</w:t>
            </w:r>
          </w:p>
        </w:tc>
      </w:tr>
      <w:tr w14:paraId="65A27C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tl2br w:val="nil"/>
              <w:tr2bl w:val="nil"/>
            </w:tcBorders>
            <w:vAlign w:val="center"/>
          </w:tcPr>
          <w:p w14:paraId="37050B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++</w:t>
            </w:r>
          </w:p>
        </w:tc>
        <w:tc>
          <w:tcPr>
            <w:tcW w:w="788" w:type="pct"/>
            <w:tcBorders>
              <w:tl2br w:val="nil"/>
              <w:tr2bl w:val="nil"/>
            </w:tcBorders>
            <w:vAlign w:val="center"/>
          </w:tcPr>
          <w:p w14:paraId="36B2B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3(3.2%)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 w14:paraId="09C743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2(4.3%)</w:t>
            </w:r>
          </w:p>
        </w:tc>
        <w:tc>
          <w:tcPr>
            <w:tcW w:w="816" w:type="pct"/>
            <w:tcBorders>
              <w:tl2br w:val="nil"/>
              <w:tr2bl w:val="nil"/>
            </w:tcBorders>
            <w:vAlign w:val="center"/>
          </w:tcPr>
          <w:p w14:paraId="77060C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1(2.1%)</w:t>
            </w:r>
          </w:p>
        </w:tc>
        <w:tc>
          <w:tcPr>
            <w:tcW w:w="767" w:type="pct"/>
            <w:tcBorders>
              <w:tl2br w:val="nil"/>
              <w:tr2bl w:val="nil"/>
            </w:tcBorders>
            <w:vAlign w:val="center"/>
          </w:tcPr>
          <w:p w14:paraId="6C6AE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  <w:tc>
          <w:tcPr>
            <w:tcW w:w="920" w:type="pct"/>
            <w:tcBorders>
              <w:tl2br w:val="nil"/>
              <w:tr2bl w:val="nil"/>
            </w:tcBorders>
            <w:vAlign w:val="center"/>
          </w:tcPr>
          <w:p w14:paraId="261B3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1(2.2%)</w:t>
            </w:r>
          </w:p>
        </w:tc>
      </w:tr>
      <w:tr w14:paraId="4FDD9B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35" w:type="pct"/>
            <w:tcBorders>
              <w:bottom w:val="single" w:color="auto" w:sz="8" w:space="0"/>
            </w:tcBorders>
            <w:vAlign w:val="center"/>
          </w:tcPr>
          <w:p w14:paraId="74BED1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30" w:firstLineChars="30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+++</w:t>
            </w:r>
          </w:p>
        </w:tc>
        <w:tc>
          <w:tcPr>
            <w:tcW w:w="788" w:type="pct"/>
            <w:tcBorders>
              <w:bottom w:val="single" w:color="auto" w:sz="8" w:space="0"/>
            </w:tcBorders>
            <w:vAlign w:val="center"/>
          </w:tcPr>
          <w:p w14:paraId="67E333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2(2.1%)</w:t>
            </w:r>
          </w:p>
        </w:tc>
        <w:tc>
          <w:tcPr>
            <w:tcW w:w="871" w:type="pct"/>
            <w:tcBorders>
              <w:bottom w:val="single" w:color="auto" w:sz="8" w:space="0"/>
            </w:tcBorders>
            <w:vAlign w:val="center"/>
          </w:tcPr>
          <w:p w14:paraId="26503B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1(2.1%)</w:t>
            </w:r>
          </w:p>
        </w:tc>
        <w:tc>
          <w:tcPr>
            <w:tcW w:w="816" w:type="pct"/>
            <w:tcBorders>
              <w:bottom w:val="single" w:color="auto" w:sz="8" w:space="0"/>
            </w:tcBorders>
            <w:vAlign w:val="center"/>
          </w:tcPr>
          <w:p w14:paraId="6913AA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1(2.1%)</w:t>
            </w:r>
          </w:p>
        </w:tc>
        <w:tc>
          <w:tcPr>
            <w:tcW w:w="767" w:type="pct"/>
            <w:tcBorders>
              <w:bottom w:val="single" w:color="auto" w:sz="8" w:space="0"/>
            </w:tcBorders>
            <w:vAlign w:val="center"/>
          </w:tcPr>
          <w:p w14:paraId="5256B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0(0%)</w:t>
            </w:r>
          </w:p>
        </w:tc>
        <w:tc>
          <w:tcPr>
            <w:tcW w:w="920" w:type="pct"/>
            <w:tcBorders>
              <w:bottom w:val="single" w:color="auto" w:sz="8" w:space="0"/>
            </w:tcBorders>
            <w:vAlign w:val="center"/>
          </w:tcPr>
          <w:p w14:paraId="4E617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1(2.2%)</w:t>
            </w:r>
          </w:p>
        </w:tc>
      </w:tr>
    </w:tbl>
    <w:p w14:paraId="5A1689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</w:p>
    <w:p w14:paraId="5FB2A1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bookmarkStart w:id="1" w:name="_GoBack"/>
      <w:bookmarkEnd w:id="1"/>
    </w:p>
    <w:p w14:paraId="64A926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Table S3 Kappa consistency test verifies the inter-batch consistency of 2D-PCR method.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6"/>
        <w:gridCol w:w="2592"/>
        <w:gridCol w:w="1808"/>
        <w:gridCol w:w="1813"/>
      </w:tblGrid>
      <w:tr w14:paraId="06C1F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</w:tcPr>
          <w:p w14:paraId="24127F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592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</w:tcPr>
          <w:p w14:paraId="727C9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Kappa[95%CI]</w:t>
            </w:r>
          </w:p>
        </w:tc>
        <w:tc>
          <w:tcPr>
            <w:tcW w:w="1808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</w:tcPr>
          <w:p w14:paraId="720A8E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Standard error</w:t>
            </w:r>
          </w:p>
        </w:tc>
        <w:tc>
          <w:tcPr>
            <w:tcW w:w="181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</w:tcPr>
          <w:p w14:paraId="07F173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p value</w:t>
            </w:r>
          </w:p>
        </w:tc>
      </w:tr>
      <w:tr w14:paraId="5FF2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6AC30D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iCs/>
                <w:kern w:val="2"/>
                <w:sz w:val="21"/>
                <w:szCs w:val="21"/>
                <w:lang w:val="en-US" w:eastAsia="zh-CN" w:bidi="ar-SA"/>
              </w:rPr>
              <w:t>C.</w:t>
            </w:r>
            <w:r>
              <w:rPr>
                <w:rFonts w:hint="eastAsia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  <w:t xml:space="preserve"> difficile</w:t>
            </w:r>
          </w:p>
        </w:tc>
        <w:tc>
          <w:tcPr>
            <w:tcW w:w="259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D0BFA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0.882[0.780-0.984]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8179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0.052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28137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&lt;0.001</w:t>
            </w:r>
          </w:p>
        </w:tc>
      </w:tr>
      <w:tr w14:paraId="22A2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</w:tcPr>
          <w:p w14:paraId="17C6DAF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iCs/>
                <w:kern w:val="2"/>
                <w:sz w:val="21"/>
                <w:szCs w:val="21"/>
                <w:lang w:val="en-US" w:eastAsia="zh-CN" w:bidi="ar-SA"/>
              </w:rPr>
              <w:t>R.</w:t>
            </w:r>
            <w:r>
              <w:rPr>
                <w:rFonts w:hint="eastAsia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  <w:t xml:space="preserve"> gnavus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BAE8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0.903[0.860-0.946]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F938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0.022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6693AB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&lt;0.001</w:t>
            </w:r>
          </w:p>
        </w:tc>
      </w:tr>
      <w:tr w14:paraId="444A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</w:tcPr>
          <w:p w14:paraId="23229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  <w:t xml:space="preserve">Veillonella </w:t>
            </w:r>
            <w:r>
              <w:rPr>
                <w:rFonts w:hint="eastAsia" w:ascii="Times New Roman" w:hAnsi="Times New Roman" w:cs="Times New Roman"/>
                <w:i w:val="0"/>
                <w:iCs w:val="0"/>
                <w:sz w:val="21"/>
                <w:szCs w:val="21"/>
                <w:lang w:val="en-US" w:eastAsia="zh-CN"/>
              </w:rPr>
              <w:t>spp.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A8807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0.787[0.718-0.856]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51CF0B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0.035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0C3D69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&lt;0.001</w:t>
            </w:r>
          </w:p>
        </w:tc>
      </w:tr>
      <w:tr w14:paraId="1D5E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6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 w14:paraId="7B67E5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  <w:t>R. torques</w:t>
            </w:r>
          </w:p>
        </w:tc>
        <w:tc>
          <w:tcPr>
            <w:tcW w:w="2592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 w14:paraId="5A4D0D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0.773[0.557-0.989]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 w14:paraId="4F913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0.110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 w14:paraId="6F7524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&lt;0.001</w:t>
            </w:r>
          </w:p>
        </w:tc>
      </w:tr>
    </w:tbl>
    <w:p w14:paraId="2BF021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Times New Roman" w:hAnsi="Times New Roman" w:cs="Times New Roman"/>
          <w:b/>
          <w:bCs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D3F20"/>
    <w:rsid w:val="052B2F21"/>
    <w:rsid w:val="0ACC5A54"/>
    <w:rsid w:val="10FC5772"/>
    <w:rsid w:val="1241308D"/>
    <w:rsid w:val="16951D1B"/>
    <w:rsid w:val="19FE776E"/>
    <w:rsid w:val="1EC32BCC"/>
    <w:rsid w:val="27333F5E"/>
    <w:rsid w:val="2890116A"/>
    <w:rsid w:val="37E82428"/>
    <w:rsid w:val="388D43A1"/>
    <w:rsid w:val="38EA1B11"/>
    <w:rsid w:val="40507E8F"/>
    <w:rsid w:val="45DD3F20"/>
    <w:rsid w:val="48521649"/>
    <w:rsid w:val="4CC823D1"/>
    <w:rsid w:val="4D2C23E6"/>
    <w:rsid w:val="5BFA391D"/>
    <w:rsid w:val="64BA1B6A"/>
    <w:rsid w:val="674C350B"/>
    <w:rsid w:val="7988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290</Words>
  <Characters>1943</Characters>
  <Lines>0</Lines>
  <Paragraphs>0</Paragraphs>
  <TotalTime>8</TotalTime>
  <ScaleCrop>false</ScaleCrop>
  <LinksUpToDate>false</LinksUpToDate>
  <CharactersWithSpaces>2072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2026-01-08T05:58:00Z</dcterms:created>
  <dc:creator>LYY</dc:creator>
  <cp:lastModifiedBy>LYY</cp:lastModifiedBy>
  <dcterms:modified xsi:type="dcterms:W3CDTF">2026-01-16T08:56:46Z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ECD5D71ED41340418A429AE856589DC8_13</vt:lpwstr>
  </property>
  <property fmtid="{D5CDD505-2E9C-101B-9397-08002B2CF9AE}" pid="4" name="KSOTemplateDocerSaveRecord">
    <vt:lpwstr>eyJoZGlkIjoiOGU0NDJjMDYxNDY5NWQzM2VhODQ2MGIyZWYyMGI5M2YiLCJ1c2VySWQiOiIyMzM5OTI4MDEifQ==</vt:lpwstr>
  </property>
</Properties>
</file>